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B2" w:rsidRDefault="003D5E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5EB2" w:rsidRDefault="003D5EB2">
      <w:pPr>
        <w:pStyle w:val="ConsPlusNormal"/>
        <w:jc w:val="both"/>
        <w:outlineLvl w:val="0"/>
      </w:pPr>
    </w:p>
    <w:p w:rsidR="003D5EB2" w:rsidRDefault="003D5EB2">
      <w:pPr>
        <w:pStyle w:val="ConsPlusTitle"/>
        <w:jc w:val="center"/>
      </w:pPr>
      <w:r>
        <w:t>ФЕДЕРАЛЬНОЕ АГЕНТСТВО ПО ТЕХНИЧЕСКОМУ РЕГУЛИРОВАНИЮ</w:t>
      </w:r>
    </w:p>
    <w:p w:rsidR="003D5EB2" w:rsidRDefault="003D5EB2">
      <w:pPr>
        <w:pStyle w:val="ConsPlusTitle"/>
        <w:jc w:val="center"/>
      </w:pPr>
      <w:r>
        <w:t>И МЕТРОЛОГИИ</w:t>
      </w:r>
    </w:p>
    <w:p w:rsidR="003D5EB2" w:rsidRDefault="003D5EB2">
      <w:pPr>
        <w:pStyle w:val="ConsPlusTitle"/>
        <w:jc w:val="center"/>
      </w:pPr>
    </w:p>
    <w:p w:rsidR="003D5EB2" w:rsidRDefault="003D5EB2">
      <w:pPr>
        <w:pStyle w:val="ConsPlusTitle"/>
        <w:jc w:val="center"/>
      </w:pPr>
      <w:r>
        <w:t>НАЦИОНАЛЬНЫЙ ОРГАН РОССИЙСКОЙ ФЕДЕРАЦИИ ПО СТАНДАРТИЗАЦИИ</w:t>
      </w:r>
    </w:p>
    <w:p w:rsidR="003D5EB2" w:rsidRDefault="003D5EB2">
      <w:pPr>
        <w:pStyle w:val="ConsPlusTitle"/>
        <w:jc w:val="center"/>
      </w:pPr>
    </w:p>
    <w:p w:rsidR="003D5EB2" w:rsidRDefault="003D5EB2">
      <w:pPr>
        <w:pStyle w:val="ConsPlusTitle"/>
        <w:jc w:val="center"/>
      </w:pPr>
      <w:r>
        <w:t>ТЕХНИЧЕСКИЙ КОМИТЕТ ПО СТАНДАРТИЗАЦИИ ТК 001</w:t>
      </w:r>
    </w:p>
    <w:p w:rsidR="003D5EB2" w:rsidRDefault="003D5EB2">
      <w:pPr>
        <w:pStyle w:val="ConsPlusTitle"/>
        <w:jc w:val="center"/>
      </w:pPr>
      <w:r>
        <w:t>"ПРОИЗВОДСТВЕННЫЕ УСЛУГИ"</w:t>
      </w:r>
    </w:p>
    <w:p w:rsidR="003D5EB2" w:rsidRDefault="003D5EB2">
      <w:pPr>
        <w:pStyle w:val="ConsPlusTitle"/>
        <w:jc w:val="center"/>
      </w:pPr>
    </w:p>
    <w:p w:rsidR="003D5EB2" w:rsidRDefault="003D5EB2">
      <w:pPr>
        <w:pStyle w:val="ConsPlusTitle"/>
        <w:jc w:val="center"/>
      </w:pPr>
      <w:r>
        <w:t>ПИСЬМО</w:t>
      </w:r>
    </w:p>
    <w:p w:rsidR="003D5EB2" w:rsidRDefault="003D5EB2">
      <w:pPr>
        <w:pStyle w:val="ConsPlusTitle"/>
        <w:jc w:val="center"/>
      </w:pPr>
      <w:r>
        <w:t>от 7 апреля 2022 г. N 30-44-22</w:t>
      </w:r>
    </w:p>
    <w:p w:rsidR="003D5EB2" w:rsidRDefault="003D5EB2">
      <w:pPr>
        <w:pStyle w:val="ConsPlusTitle"/>
        <w:jc w:val="center"/>
      </w:pPr>
    </w:p>
    <w:p w:rsidR="003D5EB2" w:rsidRDefault="003D5EB2">
      <w:pPr>
        <w:pStyle w:val="ConsPlusTitle"/>
        <w:jc w:val="center"/>
      </w:pPr>
      <w:r>
        <w:t>О РАЗЪЯСНЕНИИ</w:t>
      </w:r>
    </w:p>
    <w:p w:rsidR="003D5EB2" w:rsidRDefault="003D5EB2">
      <w:pPr>
        <w:pStyle w:val="ConsPlusTitle"/>
        <w:jc w:val="center"/>
      </w:pPr>
      <w:r>
        <w:t xml:space="preserve">НОРМ НАЦИОНАЛЬНОГО СТАНДАРТА ГОСТ </w:t>
      </w:r>
      <w:proofErr w:type="gramStart"/>
      <w:r>
        <w:t>Р</w:t>
      </w:r>
      <w:proofErr w:type="gramEnd"/>
      <w:r>
        <w:t xml:space="preserve"> 57974-2017</w:t>
      </w:r>
    </w:p>
    <w:p w:rsidR="003D5EB2" w:rsidRDefault="003D5EB2">
      <w:pPr>
        <w:pStyle w:val="ConsPlusNormal"/>
        <w:jc w:val="center"/>
      </w:pPr>
    </w:p>
    <w:p w:rsidR="003D5EB2" w:rsidRDefault="003D5EB2">
      <w:pPr>
        <w:pStyle w:val="ConsPlusNormal"/>
        <w:ind w:firstLine="540"/>
        <w:jc w:val="both"/>
      </w:pPr>
      <w:r>
        <w:t xml:space="preserve">Секретариат технического комитета "Производственные услуги" (далее - ТК 001) в связи с большим количеством обращений о статусе действия и порядке применения </w:t>
      </w:r>
      <w:hyperlink r:id="rId6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"Производственные услуги. Организация проведения проверки работоспособности систем и установок противопожарной защиты зданий и сооружений. Общие требования" (далее - ГОСТ </w:t>
      </w:r>
      <w:proofErr w:type="gramStart"/>
      <w:r>
        <w:t>Р</w:t>
      </w:r>
      <w:proofErr w:type="gramEnd"/>
      <w:r>
        <w:t xml:space="preserve"> 57974-2017) сообщает следующее.</w:t>
      </w:r>
    </w:p>
    <w:p w:rsidR="003D5EB2" w:rsidRDefault="003D5EB2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утвержден и введен в действие </w:t>
      </w:r>
      <w:hyperlink r:id="rId8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(далее - Росстандарт) от 21 ноября 2017 г. N 1791 с датой введения в действие с 1 мая 2018 г. и в настоящее время имеет статус "действует".</w:t>
      </w:r>
    </w:p>
    <w:p w:rsidR="003D5EB2" w:rsidRDefault="003D5EB2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принят в установленном порядке Росстандартом с целью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"Технический регламент о требованиях пожарной безопасности" от 22.07.2008 N 123-ФЗ (далее - 123-ФЗ) и </w:t>
      </w:r>
      <w:hyperlink r:id="rId11">
        <w:r>
          <w:rPr>
            <w:color w:val="0000FF"/>
          </w:rPr>
          <w:t>Правил</w:t>
        </w:r>
      </w:hyperlink>
      <w:r>
        <w:t xml:space="preserve"> противопожарного режима, утвержденных Постановлением Правительства РФ от 16.09.2020 N 1479 (далее - ППР РФ), и содержит требования к организации проведения проверок работоспособности систем, установок противопожарной защиты, а также их элементов (далее - системы ППЗ), вводимых в эксплуатацию и </w:t>
      </w:r>
      <w:proofErr w:type="gramStart"/>
      <w:r>
        <w:t>эксплуатируемых</w:t>
      </w:r>
      <w:proofErr w:type="gramEnd"/>
      <w:r>
        <w:t xml:space="preserve"> сверх срока службы, установленного изготовителем (поставщиком) (при отсутствии информации изготовителя (поставщика) о возможности дальнейшей эксплуатации), до их замены в установленном порядке.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Необходимость разработки </w:t>
      </w:r>
      <w:hyperlink r:id="rId12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была вызвана отсутствием на государственном уровне конкретных требований к организации проведения проверки работоспособности систем ППЗ, в том числе ввиду отсутствия конкретных требований к срокам их эксплуатации, продлению с последующим установлением новых назначенных показателей, в зависимости от конструктивных особенностей и возможных нормативных изменений, а также устранить саму возможность вмешательства человеческого фактора в системы, от которых зависит наша безопасность.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Зачастую ранее руководитель объекта защиты самостоятельно устанавливал срок проведения проверки работоспособности систем ППЗ, основываясь на собственных предположениях, что приводило к небезопасной эксплуатации этих систем и, как следствие, становилось причиной гибели людей, причинения вреда здоровью человека, уничтожения материальных и культурных ценностей.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Таким образом, проведение периодической проверки работоспособности до настоящего времени остается единственным способом подтвердить сохранение способности систем ППЗ выполнять заданные функции и убедиться в возможности их дальнейшей эксплуатации на объектах защиты.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Вместе с тем, согласно ППР РФ </w:t>
      </w:r>
      <w:hyperlink r:id="rId13">
        <w:r>
          <w:rPr>
            <w:color w:val="0000FF"/>
          </w:rPr>
          <w:t>п. 54</w:t>
        </w:r>
      </w:hyperlink>
      <w:r>
        <w:t xml:space="preserve">.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Требования к организации проведения проверок работоспособности вводимых в эксплуатацию и эксплуатируемых в зданиях и сооружениях (далее - объект защиты) систем, установок противопожарной защиты и их элементов устанавливает </w:t>
      </w:r>
      <w:hyperlink r:id="rId14">
        <w:r>
          <w:rPr>
            <w:color w:val="0000FF"/>
          </w:rPr>
          <w:t>п. 1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57974-2017. Подтверждение исправного состояния осуществляется согласно формам оценки соответствия, указанным в </w:t>
      </w:r>
      <w:hyperlink r:id="rId15">
        <w:r>
          <w:rPr>
            <w:color w:val="0000FF"/>
          </w:rPr>
          <w:t>Статье 144</w:t>
        </w:r>
      </w:hyperlink>
      <w:r>
        <w:t xml:space="preserve"> 123-ФЗ "Формы оценки соответствия объектов защиты (продукции) требованиям пожарной </w:t>
      </w:r>
      <w:r>
        <w:lastRenderedPageBreak/>
        <w:t>безопасности":</w:t>
      </w:r>
    </w:p>
    <w:p w:rsidR="003D5EB2" w:rsidRDefault="003D5EB2">
      <w:pPr>
        <w:pStyle w:val="ConsPlusNormal"/>
        <w:spacing w:before="200"/>
        <w:jc w:val="both"/>
      </w:pPr>
      <w:r>
        <w:t xml:space="preserve">ч. 1. </w:t>
      </w:r>
      <w:proofErr w:type="gramStart"/>
      <w:r>
        <w:t>Оценка соответствия объектов защиты (продукции), организаций, осуществляющих подтверждение соответствия процессов проектирования, производства, строительства, монтажа, наладки, эксплуатации, хранения, перевозки, реализации и утилизации, требованиям пожарной безопасности, установленным техническими регламентами, принятыми в соответствии с Федеральным законом "О техническом регулировании", нормативными документами по пожарной безопасности, и условиям договоров проводится в формах:</w:t>
      </w:r>
      <w:proofErr w:type="gramEnd"/>
    </w:p>
    <w:p w:rsidR="003D5EB2" w:rsidRDefault="003D5EB2">
      <w:pPr>
        <w:pStyle w:val="ConsPlusNormal"/>
        <w:spacing w:before="200"/>
        <w:ind w:firstLine="540"/>
        <w:jc w:val="both"/>
      </w:pPr>
      <w:r>
        <w:t>3) федерального государственного пожарного надзора;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5) исследований (испытаний);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6) подтверждения соответствия объектов защиты (продукции).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Согласно данной </w:t>
      </w:r>
      <w:hyperlink r:id="rId16">
        <w:r>
          <w:rPr>
            <w:color w:val="0000FF"/>
          </w:rPr>
          <w:t>статье</w:t>
        </w:r>
      </w:hyperlink>
      <w:r>
        <w:t xml:space="preserve"> наряду с формой оценки соответствия в форме государственного пожарного надзора собственник (хозяйствующий субъект) может выбрать форму оценки соответствия проведением испытаний и подтверждения соответствия. Определение "Испытание" приведено в </w:t>
      </w:r>
      <w:hyperlink r:id="rId17">
        <w:r>
          <w:rPr>
            <w:color w:val="0000FF"/>
          </w:rPr>
          <w:t>п. 4.2</w:t>
        </w:r>
      </w:hyperlink>
      <w:r>
        <w:t xml:space="preserve"> ГОСТ ISO/IEC 17000-2012 "Оценка соответствия. СЛОВАРЬ И ОБЩИЕ ПРИНЦИПЫ": испытание - определение одной или более характеристик объекта оценки соответствия согласно процедуре.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Испытания систем противопожарной защиты предусмотрено в составе работ по проверке работоспособности согласно </w:t>
      </w:r>
      <w:hyperlink r:id="rId18">
        <w:r>
          <w:rPr>
            <w:color w:val="0000FF"/>
          </w:rPr>
          <w:t>п. 6.8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57974-2017: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Проверка работоспособности системы ППЗ включает в себя следующие этапы: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- анализ нормативной, проектной и (или) технической документации, устанавливающей требования к смонтированной на объекте защиты системе ППЗ;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- осмотр системы ППЗ на объекте защиты;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- испытания (измерения) системы ППЗ. Оформление полученных (фактических) показателей протоколом (актом);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- анализ соответствия фактических показателей </w:t>
      </w:r>
      <w:proofErr w:type="gramStart"/>
      <w:r>
        <w:t>требуемым</w:t>
      </w:r>
      <w:proofErr w:type="gramEnd"/>
      <w:r>
        <w:t>. Оформление результатов проверки работоспособности системы ППЗ в соответствии с пунктом 6.3".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Указанная в </w:t>
      </w:r>
      <w:hyperlink r:id="rId19">
        <w:r>
          <w:rPr>
            <w:color w:val="0000FF"/>
          </w:rPr>
          <w:t>ст. 144</w:t>
        </w:r>
      </w:hyperlink>
      <w:r>
        <w:t xml:space="preserve"> 123-ФЗ форма оценки соответствия "Подтверждение соответствия" систем противопожарной защиты предусмотрена </w:t>
      </w:r>
      <w:hyperlink r:id="rId20">
        <w:r>
          <w:rPr>
            <w:color w:val="0000FF"/>
          </w:rPr>
          <w:t>п. 4.2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57974-2017 и является одной из целей проверки: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- подтверждение соответствия (несоответствия) работоспособности систем ППЗ;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- возможность продления сроков эксплуатации систем ППЗ.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Также сообщаем о наличии судебной практики необходимости применения </w:t>
      </w:r>
      <w:hyperlink r:id="rId2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при вводе в эксплуатацию объекта (в т.ч. дело N А10-6861/2017) и при его последующей эксплуатации (в т.ч. дело N А65-18339/2018).</w:t>
      </w:r>
    </w:p>
    <w:p w:rsidR="003D5EB2" w:rsidRDefault="003D5EB2">
      <w:pPr>
        <w:pStyle w:val="ConsPlusNormal"/>
        <w:spacing w:before="200"/>
        <w:ind w:firstLine="540"/>
        <w:jc w:val="both"/>
      </w:pPr>
      <w:proofErr w:type="gramStart"/>
      <w:r>
        <w:t xml:space="preserve">Одновременно информирую, что согласно </w:t>
      </w:r>
      <w:hyperlink r:id="rId22">
        <w:r>
          <w:rPr>
            <w:color w:val="0000FF"/>
          </w:rPr>
          <w:t>пункту 3 статьи 26</w:t>
        </w:r>
      </w:hyperlink>
      <w:r>
        <w:t xml:space="preserve"> Федерального закона от 29 июня 2015 года N 162-ФЗ "О стандартизации в Российской Федерации" применение национального стандарта является обязательным для изготовителя и (или) исполнителя в случае публичного заявления о соответствии продукции национальному стандарту, в том числе в случае применения обозначения национального стандарта в маркировке, в эксплуатационной или иной документации, и (или) маркировки</w:t>
      </w:r>
      <w:proofErr w:type="gramEnd"/>
      <w:r>
        <w:t xml:space="preserve"> продукции знаком национальной системы стандартизации.</w:t>
      </w:r>
    </w:p>
    <w:p w:rsidR="003D5EB2" w:rsidRDefault="003D5EB2">
      <w:pPr>
        <w:pStyle w:val="ConsPlusNormal"/>
        <w:spacing w:before="200"/>
        <w:ind w:firstLine="540"/>
        <w:jc w:val="both"/>
      </w:pPr>
      <w:hyperlink r:id="rId23">
        <w:proofErr w:type="gramStart"/>
        <w:r>
          <w:rPr>
            <w:color w:val="0000FF"/>
          </w:rPr>
          <w:t>Статьей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предусмотрено, что заказчик при описании в документации объекта закупки должен руководствоваться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</w:t>
      </w:r>
      <w:proofErr w:type="gramEnd"/>
      <w:r>
        <w:t xml:space="preserve"> Федерации о стандартизации, иных требований, связанных с определением соответствия поставляемого товара, выполняемой работы, оказываемой услуги </w:t>
      </w:r>
      <w:r>
        <w:lastRenderedPageBreak/>
        <w:t>потребностям заказчика.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Если заказчиком в описании объекта закупки используются ссылки на технические регламенты, стандарты, содержащие показатели, требования, условные обозначения, то в этом случае данная норма является обязательной.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3</w:t>
        </w:r>
      </w:hyperlink>
      <w:r>
        <w:t xml:space="preserve"> Федерального закона РФ от </w:t>
      </w:r>
      <w:proofErr w:type="gramStart"/>
      <w:r>
        <w:t>от</w:t>
      </w:r>
      <w:proofErr w:type="gramEnd"/>
      <w:r>
        <w:t xml:space="preserve"> 27.12.2002 N 184-ФЗ "О техническом регулировании" монтажная организация не может самостоятельно подтверждать выполненные работы.</w:t>
      </w:r>
    </w:p>
    <w:p w:rsidR="003D5EB2" w:rsidRDefault="003D5EB2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РФ от 04.05.2011 N 99-ФЗ "О лицензировании отдельных видов деятельности" (далее - 99-ФЗ) Министерством РФ по делам гражданской обороны, чрезвычайным ситуациям и ликвидации последствий стихийных бедствий выдается лицензия на деятельность по монтажу, техническому обслуживанию и ремонту средств обеспечения пожарной безопасности зданий и сооружений, включая диспетчеризацию и проведение пусконаладочных работ.</w:t>
      </w:r>
      <w:proofErr w:type="gramEnd"/>
    </w:p>
    <w:p w:rsidR="003D5EB2" w:rsidRDefault="003D5EB2">
      <w:pPr>
        <w:pStyle w:val="ConsPlusNormal"/>
        <w:spacing w:before="200"/>
        <w:ind w:firstLine="540"/>
        <w:jc w:val="both"/>
      </w:pPr>
      <w:r>
        <w:t>То есть организация, имеющая лицензию МЧС России, не имеет право проводить проверку работоспособности систем ППЗ, а разрешает только монтировать, сама же процедура лицензирования организаций не включает в себя проверку наличия у организации испытательного оборудования и специалистов по подтверждению качества (экспертов-аудиторов).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К такому же выводу пришел Арбитражный суд Нижегородской области от 30 августа 2021 года по Делу N А43-10449/2021. </w:t>
      </w:r>
      <w:proofErr w:type="gramStart"/>
      <w:r>
        <w:t xml:space="preserve">Данным судебным решением организация, имеющая лицензию МЧС России, не являлась испытательной лабораторией и не имела разрешения (аккредитации) на проведение работ по контролю качества огнезащитной обработки конструкции, вследствие чего была привлечена к административной ответственности по </w:t>
      </w:r>
      <w:hyperlink r:id="rId26">
        <w:r>
          <w:rPr>
            <w:color w:val="0000FF"/>
          </w:rPr>
          <w:t>части 4 статьи 14.1</w:t>
        </w:r>
      </w:hyperlink>
      <w:r>
        <w:t xml:space="preserve"> Кодекса Российской Федерации об административных правонарушениях за грубое нарушение лицензионных требований, выразившееся в невыполнении требований к работам (услугам), составляющим лицензируемую деятельность, установленных</w:t>
      </w:r>
      <w:proofErr w:type="gramEnd"/>
      <w:r>
        <w:t xml:space="preserve"> нормативным документом по пожарной безопасности.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Также </w:t>
      </w:r>
      <w:hyperlink r:id="rId27">
        <w:r>
          <w:rPr>
            <w:color w:val="0000FF"/>
          </w:rPr>
          <w:t>пунктом 2 статьи 145</w:t>
        </w:r>
      </w:hyperlink>
      <w:r>
        <w:t xml:space="preserve"> 123-ФЗ установлено, что добровольное подтверждение соответствия объектов защиты (продукции) требованиям пожарной безопасности осуществляется в форме добровольной сертификации.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Согласно содержаниям </w:t>
      </w:r>
      <w:hyperlink r:id="rId28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57974-2017</w:t>
        </w:r>
      </w:hyperlink>
      <w:r>
        <w:t xml:space="preserve"> и </w:t>
      </w:r>
      <w:hyperlink r:id="rId29">
        <w:r>
          <w:rPr>
            <w:color w:val="0000FF"/>
          </w:rPr>
          <w:t>ГОСТ Р 57369-2016</w:t>
        </w:r>
      </w:hyperlink>
      <w:r>
        <w:t xml:space="preserve"> "Производственные услуги. Термины и определения" руководитель организует проведение проверки работоспособности систем ППЗ с участием специалистов (экспертов-аудиторов), состоящих в штате организации или на договорной основе с привлечением юридических лиц или индивидуальных предпринимателей, обладающих необходимой компетентностью, подтвержденной в системе добровольной сертификации (экспертная организация).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Положением</w:t>
        </w:r>
      </w:hyperlink>
      <w:r>
        <w:t xml:space="preserve"> о Федеральном агентстве по техническому регулированию, стандартизации и метрологии, утвержденном постановлением Правительства Российской Федерации от 17 июня 2004 г. N 294, Росстандарт осуществляет ведение единого реестра зарегистрированных систем добровольной сертификации в открытом доступе на официальном сайте www.gost.ru.</w:t>
      </w:r>
    </w:p>
    <w:p w:rsidR="003D5EB2" w:rsidRDefault="003D5EB2">
      <w:pPr>
        <w:pStyle w:val="ConsPlusNormal"/>
        <w:spacing w:before="200"/>
        <w:ind w:firstLine="540"/>
        <w:jc w:val="both"/>
      </w:pPr>
      <w:r>
        <w:t>Одновременно сообщаю, что требования к аттестации специалистов (экспертов-аудиторов) устанавливаются внутренними стандартами (правилами) в рамках системы добровольной сертификации.</w:t>
      </w:r>
    </w:p>
    <w:p w:rsidR="003D5EB2" w:rsidRDefault="003D5EB2">
      <w:pPr>
        <w:pStyle w:val="ConsPlusNormal"/>
        <w:ind w:firstLine="540"/>
        <w:jc w:val="both"/>
      </w:pPr>
    </w:p>
    <w:p w:rsidR="003D5EB2" w:rsidRDefault="003D5EB2">
      <w:pPr>
        <w:pStyle w:val="ConsPlusNormal"/>
        <w:jc w:val="right"/>
      </w:pPr>
      <w:r>
        <w:t>Ответственный секретарь ТК 001</w:t>
      </w:r>
    </w:p>
    <w:p w:rsidR="003D5EB2" w:rsidRDefault="003D5EB2">
      <w:pPr>
        <w:pStyle w:val="ConsPlusNormal"/>
        <w:jc w:val="right"/>
      </w:pPr>
      <w:r>
        <w:t>О.А.ОРЛОВА</w:t>
      </w:r>
    </w:p>
    <w:p w:rsidR="003D5EB2" w:rsidRDefault="003D5EB2">
      <w:pPr>
        <w:pStyle w:val="ConsPlusNormal"/>
        <w:jc w:val="both"/>
      </w:pPr>
    </w:p>
    <w:p w:rsidR="003D5EB2" w:rsidRDefault="003D5EB2">
      <w:pPr>
        <w:pStyle w:val="ConsPlusNormal"/>
        <w:jc w:val="both"/>
      </w:pPr>
    </w:p>
    <w:p w:rsidR="003D5EB2" w:rsidRDefault="003D5E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8A0" w:rsidRDefault="003A48A0">
      <w:bookmarkStart w:id="0" w:name="_GoBack"/>
      <w:bookmarkEnd w:id="0"/>
    </w:p>
    <w:sectPr w:rsidR="003A48A0" w:rsidSect="004A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B2"/>
    <w:rsid w:val="003A48A0"/>
    <w:rsid w:val="003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E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5E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5E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E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5E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5E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8F043E7AE787A9FB70F842D3D37C7465E8B5945F6F5E612CC520E084136F58B495CFD1FCAA4FE234D9678FC2C09CB679BAC8F4DE92EC1EuDg3M" TargetMode="External"/><Relationship Id="rId13" Type="http://schemas.openxmlformats.org/officeDocument/2006/relationships/hyperlink" Target="consultantplus://offline/ref=038F043E7AE787A9FB70F842D3D37C7464E8B99352645E612CC520E084136F58B495CFD1FCAA4EE634D9678FC2C09CB679BAC8F4DE92EC1EuDg3M" TargetMode="External"/><Relationship Id="rId18" Type="http://schemas.openxmlformats.org/officeDocument/2006/relationships/hyperlink" Target="consultantplus://offline/ref=038F043E7AE787A9FB70F842D3D37C7464E6BD975F615E612CC520E084136F58B495CFD1FCAA4EE33AD9678FC2C09CB679BAC8F4DE92EC1EuDg3M" TargetMode="External"/><Relationship Id="rId26" Type="http://schemas.openxmlformats.org/officeDocument/2006/relationships/hyperlink" Target="consultantplus://offline/ref=038F043E7AE787A9FB70F842D3D37C7463E2BD955B605E612CC520E084136F58B495CFD6F4AF47E96683778B8B9790AA78A3D6F1C092uEg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8F043E7AE787A9FB70F842D3D37C7464E6BD975F615E612CC520E084136F58A69597DDFEAB51E235CC31DE84u9g7M" TargetMode="External"/><Relationship Id="rId7" Type="http://schemas.openxmlformats.org/officeDocument/2006/relationships/hyperlink" Target="consultantplus://offline/ref=038F043E7AE787A9FB70F842D3D37C7464E6BD975F615E612CC520E084136F58A69597DDFEAB51E235CC31DE84u9g7M" TargetMode="External"/><Relationship Id="rId12" Type="http://schemas.openxmlformats.org/officeDocument/2006/relationships/hyperlink" Target="consultantplus://offline/ref=038F043E7AE787A9FB70F842D3D37C7464E6BD975F615E612CC520E084136F58A69597DDFEAB51E235CC31DE84u9g7M" TargetMode="External"/><Relationship Id="rId17" Type="http://schemas.openxmlformats.org/officeDocument/2006/relationships/hyperlink" Target="consultantplus://offline/ref=038F043E7AE787A9FB70FB57CAD37C746EE4B993503109637D902EE58C432748FAD0C2D0FDAA47E96683778B8B9790AA78A3D6F1C092uEgEM" TargetMode="External"/><Relationship Id="rId25" Type="http://schemas.openxmlformats.org/officeDocument/2006/relationships/hyperlink" Target="consultantplus://offline/ref=038F043E7AE787A9FB70F842D3D37C7464E9B8935F625E612CC520E084136F58B495CFD1FCAA4EE337D9678FC2C09CB679BAC8F4DE92EC1EuDg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8F043E7AE787A9FB70F842D3D37C7464E8BF9653655E612CC520E084136F58B495CFD1FCAB4DEA30D9678FC2C09CB679BAC8F4DE92EC1EuDg3M" TargetMode="External"/><Relationship Id="rId20" Type="http://schemas.openxmlformats.org/officeDocument/2006/relationships/hyperlink" Target="consultantplus://offline/ref=038F043E7AE787A9FB70F842D3D37C7464E6BD975F615E612CC520E084136F58B495CFD1FCAA4FE433D9678FC2C09CB679BAC8F4DE92EC1EuDg3M" TargetMode="External"/><Relationship Id="rId29" Type="http://schemas.openxmlformats.org/officeDocument/2006/relationships/hyperlink" Target="consultantplus://offline/ref=038F043E7AE787A9FB70FB57CAD37C7466E8BC905F6C036B249C2CE2831C305DB384CFD2FDB44FE52CD033DCu8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8F043E7AE787A9FB70F842D3D37C7464E6BD975F615E612CC520E084136F58A69597DDFEAB51E235CC31DE84u9g7M" TargetMode="External"/><Relationship Id="rId11" Type="http://schemas.openxmlformats.org/officeDocument/2006/relationships/hyperlink" Target="consultantplus://offline/ref=038F043E7AE787A9FB70F842D3D37C7464E8B99352645E612CC520E084136F58B495CFD1FCAA4FE23BD9678FC2C09CB679BAC8F4DE92EC1EuDg3M" TargetMode="External"/><Relationship Id="rId24" Type="http://schemas.openxmlformats.org/officeDocument/2006/relationships/hyperlink" Target="consultantplus://offline/ref=038F043E7AE787A9FB70F842D3D37C7464E8B4935B6E5E612CC520E084136F58B495CFD1FCAA4FE636D9678FC2C09CB679BAC8F4DE92EC1EuDg3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38F043E7AE787A9FB70F842D3D37C7464E8BF9653655E612CC520E084136F58B495CFD1FCAB4DE534D9678FC2C09CB679BAC8F4DE92EC1EuDg3M" TargetMode="External"/><Relationship Id="rId23" Type="http://schemas.openxmlformats.org/officeDocument/2006/relationships/hyperlink" Target="consultantplus://offline/ref=038F043E7AE787A9FB70F842D3D37C7463E2BC9759635E612CC520E084136F58B495CFD1FCAA4CEA34D9678FC2C09CB679BAC8F4DE92EC1EuDg3M" TargetMode="External"/><Relationship Id="rId28" Type="http://schemas.openxmlformats.org/officeDocument/2006/relationships/hyperlink" Target="consultantplus://offline/ref=038F043E7AE787A9FB70F842D3D37C7464E6BD975F615E612CC520E084136F58B495CFD1FCAA4FE532D9678FC2C09CB679BAC8F4DE92EC1EuDg3M" TargetMode="External"/><Relationship Id="rId10" Type="http://schemas.openxmlformats.org/officeDocument/2006/relationships/hyperlink" Target="consultantplus://offline/ref=038F043E7AE787A9FB70F842D3D37C7464E8BF9653655E612CC520E084136F58B495CFD1FCAB4DE534D9678FC2C09CB679BAC8F4DE92EC1EuDg3M" TargetMode="External"/><Relationship Id="rId19" Type="http://schemas.openxmlformats.org/officeDocument/2006/relationships/hyperlink" Target="consultantplus://offline/ref=038F043E7AE787A9FB70F842D3D37C7464E8BF9653655E612CC520E084136F58B495CFD1FCAB4DEA31D9678FC2C09CB679BAC8F4DE92EC1EuDg3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8F043E7AE787A9FB70F842D3D37C7464E6BD975F615E612CC520E084136F58A69597DDFEAB51E235CC31DE84u9g7M" TargetMode="External"/><Relationship Id="rId14" Type="http://schemas.openxmlformats.org/officeDocument/2006/relationships/hyperlink" Target="consultantplus://offline/ref=038F043E7AE787A9FB70F842D3D37C7464E6BD975F615E612CC520E084136F58B495CFD1FCAA4FE33BD9678FC2C09CB679BAC8F4DE92EC1EuDg3M" TargetMode="External"/><Relationship Id="rId22" Type="http://schemas.openxmlformats.org/officeDocument/2006/relationships/hyperlink" Target="consultantplus://offline/ref=038F043E7AE787A9FB70F842D3D37C7464E7BE9A526E5E612CC520E084136F58B495CFD1FCAA4DEA37D9678FC2C09CB679BAC8F4DE92EC1EuDg3M" TargetMode="External"/><Relationship Id="rId27" Type="http://schemas.openxmlformats.org/officeDocument/2006/relationships/hyperlink" Target="consultantplus://offline/ref=038F043E7AE787A9FB70F842D3D37C7464E8BF9653655E612CC520E084136F58B495CFD1FCAB4DEB32D9678FC2C09CB679BAC8F4DE92EC1EuDg3M" TargetMode="External"/><Relationship Id="rId30" Type="http://schemas.openxmlformats.org/officeDocument/2006/relationships/hyperlink" Target="consultantplus://offline/ref=038F043E7AE787A9FB70F842D3D37C7464E9B59758675E612CC520E084136F58B495CFD1FCAA4FE735D9678FC2C09CB679BAC8F4DE92EC1EuD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2022-07-21T12:32:00Z</dcterms:created>
  <dcterms:modified xsi:type="dcterms:W3CDTF">2022-07-21T12:32:00Z</dcterms:modified>
</cp:coreProperties>
</file>